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r>
        <w:rPr>
          <w:rFonts w:hint="eastAsia" w:ascii="Times New Roman" w:hAnsi="Times New Roman" w:eastAsia="方正小标宋_GBK" w:cs="Times New Roman"/>
          <w:sz w:val="44"/>
          <w:szCs w:val="44"/>
          <w:lang w:eastAsia="zh-CN"/>
        </w:rPr>
        <w:drawing>
          <wp:anchor distT="0" distB="0" distL="114300" distR="114300" simplePos="0" relativeHeight="251659264" behindDoc="1" locked="0" layoutInCell="1" allowOverlap="1">
            <wp:simplePos x="0" y="0"/>
            <wp:positionH relativeFrom="column">
              <wp:posOffset>219710</wp:posOffset>
            </wp:positionH>
            <wp:positionV relativeFrom="paragraph">
              <wp:posOffset>12065</wp:posOffset>
            </wp:positionV>
            <wp:extent cx="5539740" cy="1945005"/>
            <wp:effectExtent l="0" t="0" r="3810" b="17145"/>
            <wp:wrapNone/>
            <wp:docPr id="2" name="图片 2" descr="江苏省农作物品种审定委员会 办公室 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江苏省农作物品种审定委员会 办公室 红头"/>
                    <pic:cNvPicPr>
                      <a:picLocks noChangeAspect="1"/>
                    </pic:cNvPicPr>
                  </pic:nvPicPr>
                  <pic:blipFill>
                    <a:blip r:embed="rId5"/>
                    <a:stretch>
                      <a:fillRect/>
                    </a:stretch>
                  </pic:blipFill>
                  <pic:spPr>
                    <a:xfrm>
                      <a:off x="0" y="0"/>
                      <a:ext cx="5539740" cy="194500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苏</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品审办</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4</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auto"/>
          <w:spacing w:val="0"/>
          <w:sz w:val="44"/>
          <w:szCs w:val="44"/>
          <w:shd w:val="clear" w:fill="FFFFFF" w:themeFill="background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i w:val="0"/>
          <w:caps w:val="0"/>
          <w:color w:val="auto"/>
          <w:spacing w:val="0"/>
          <w:sz w:val="44"/>
          <w:szCs w:val="44"/>
          <w:shd w:val="clear" w:fill="FFFFFF" w:themeFill="background1"/>
          <w:lang w:val="en-US" w:eastAsia="zh-CN"/>
        </w:rPr>
      </w:pPr>
      <w:r>
        <w:rPr>
          <w:rFonts w:hint="default" w:ascii="Times New Roman" w:hAnsi="Times New Roman" w:eastAsia="方正小标宋_GBK" w:cs="Times New Roman"/>
          <w:b w:val="0"/>
          <w:bCs w:val="0"/>
          <w:i w:val="0"/>
          <w:caps w:val="0"/>
          <w:color w:val="auto"/>
          <w:spacing w:val="0"/>
          <w:sz w:val="44"/>
          <w:szCs w:val="44"/>
          <w:shd w:val="clear" w:fill="FFFFFF" w:themeFill="background1"/>
          <w:lang w:eastAsia="zh-CN"/>
        </w:rPr>
        <w:t>关于同意开展</w:t>
      </w:r>
      <w:r>
        <w:rPr>
          <w:rFonts w:hint="default" w:ascii="Times New Roman" w:hAnsi="Times New Roman" w:eastAsia="方正小标宋_GBK" w:cs="Times New Roman"/>
          <w:b w:val="0"/>
          <w:bCs w:val="0"/>
          <w:i w:val="0"/>
          <w:caps w:val="0"/>
          <w:color w:val="auto"/>
          <w:spacing w:val="0"/>
          <w:sz w:val="44"/>
          <w:szCs w:val="44"/>
          <w:shd w:val="clear" w:fill="FFFFFF" w:themeFill="background1"/>
          <w:lang w:val="en-US" w:eastAsia="zh-CN"/>
        </w:rPr>
        <w:t>202</w:t>
      </w:r>
      <w:r>
        <w:rPr>
          <w:rFonts w:hint="eastAsia" w:ascii="Times New Roman" w:hAnsi="Times New Roman" w:eastAsia="方正小标宋_GBK" w:cs="Times New Roman"/>
          <w:b w:val="0"/>
          <w:bCs w:val="0"/>
          <w:i w:val="0"/>
          <w:caps w:val="0"/>
          <w:color w:val="auto"/>
          <w:spacing w:val="0"/>
          <w:sz w:val="44"/>
          <w:szCs w:val="44"/>
          <w:shd w:val="clear" w:fill="FFFFFF" w:themeFill="background1"/>
          <w:lang w:val="en-US" w:eastAsia="zh-CN"/>
        </w:rPr>
        <w:t>2</w:t>
      </w:r>
      <w:r>
        <w:rPr>
          <w:rFonts w:hint="default" w:ascii="Times New Roman" w:hAnsi="Times New Roman" w:eastAsia="方正小标宋_GBK" w:cs="Times New Roman"/>
          <w:b w:val="0"/>
          <w:bCs w:val="0"/>
          <w:i w:val="0"/>
          <w:caps w:val="0"/>
          <w:color w:val="auto"/>
          <w:spacing w:val="0"/>
          <w:sz w:val="44"/>
          <w:szCs w:val="44"/>
          <w:shd w:val="clear" w:fill="FFFFFF" w:themeFill="background1"/>
          <w:lang w:val="en-US" w:eastAsia="zh-CN"/>
        </w:rPr>
        <w:t>年省稻、玉米、大豆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华文中宋" w:cs="Times New Roman"/>
          <w:b w:val="0"/>
          <w:bCs w:val="0"/>
          <w:i w:val="0"/>
          <w:caps w:val="0"/>
          <w:color w:val="auto"/>
          <w:spacing w:val="0"/>
          <w:sz w:val="44"/>
          <w:szCs w:val="44"/>
          <w:shd w:val="clear" w:fill="FFFFFF" w:themeFill="background1"/>
          <w:lang w:eastAsia="zh-CN"/>
        </w:rPr>
      </w:pPr>
      <w:r>
        <w:rPr>
          <w:rFonts w:hint="default" w:ascii="Times New Roman" w:hAnsi="Times New Roman" w:eastAsia="方正小标宋_GBK" w:cs="Times New Roman"/>
          <w:b w:val="0"/>
          <w:bCs w:val="0"/>
          <w:i w:val="0"/>
          <w:caps w:val="0"/>
          <w:color w:val="auto"/>
          <w:spacing w:val="0"/>
          <w:sz w:val="44"/>
          <w:szCs w:val="44"/>
          <w:shd w:val="clear" w:fill="FFFFFF" w:themeFill="background1"/>
          <w:lang w:val="en-US" w:eastAsia="zh-CN"/>
        </w:rPr>
        <w:t>联合体试验、自主试验和扩区试验的通知</w:t>
      </w:r>
    </w:p>
    <w:p>
      <w:pPr>
        <w:keepNext w:val="0"/>
        <w:keepLines w:val="0"/>
        <w:pageBreakBefore w:val="0"/>
        <w:widowControl w:val="0"/>
        <w:kinsoku/>
        <w:wordWrap/>
        <w:overflowPunct/>
        <w:topLinePunct w:val="0"/>
        <w:autoSpaceDE/>
        <w:autoSpaceDN/>
        <w:bidi w:val="0"/>
        <w:adjustRightInd/>
        <w:snapToGrid/>
        <w:spacing w:line="560" w:lineRule="exact"/>
        <w:ind w:firstLine="961" w:firstLineChars="300"/>
        <w:textAlignment w:val="auto"/>
        <w:rPr>
          <w:rFonts w:hint="default" w:ascii="Times New Roman" w:hAnsi="Times New Roman" w:eastAsia="华文中宋" w:cs="Times New Roman"/>
          <w:b/>
          <w:bCs/>
          <w:i w:val="0"/>
          <w:caps w:val="0"/>
          <w:color w:val="auto"/>
          <w:spacing w:val="0"/>
          <w:sz w:val="32"/>
          <w:szCs w:val="32"/>
          <w:shd w:val="clear" w:fill="FFFFFF" w:themeFill="background1"/>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各</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相关单位、</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设区</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市种子管理站：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为进一步规范我省主要农作物品种联合体试验、自主试验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和扩区试验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工作，根据</w:t>
      </w:r>
      <w:r>
        <w:rPr>
          <w:rFonts w:hint="eastAsia" w:ascii="Times New Roman" w:hAnsi="Times New Roman" w:eastAsia="方正仿宋_GBK" w:cs="Times New Roman"/>
          <w:b w:val="0"/>
          <w:i w:val="0"/>
          <w:caps w:val="0"/>
          <w:color w:val="auto"/>
          <w:spacing w:val="0"/>
          <w:sz w:val="32"/>
          <w:szCs w:val="32"/>
          <w:shd w:val="clear" w:fill="FFFFFF" w:themeFill="background1"/>
          <w:lang w:eastAsia="zh-CN"/>
        </w:rPr>
        <w:t>《</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江苏省主要农作物品种审定规定</w:t>
      </w:r>
      <w:r>
        <w:rPr>
          <w:rFonts w:hint="eastAsia" w:ascii="Times New Roman" w:hAnsi="Times New Roman" w:eastAsia="方正仿宋_GBK" w:cs="Times New Roman"/>
          <w:b w:val="0"/>
          <w:i w:val="0"/>
          <w:caps w:val="0"/>
          <w:color w:val="auto"/>
          <w:spacing w:val="0"/>
          <w:sz w:val="32"/>
          <w:szCs w:val="32"/>
          <w:shd w:val="clear" w:fill="FFFFFF" w:themeFill="background1"/>
          <w:lang w:eastAsia="zh-CN"/>
        </w:rPr>
        <w:t>》（</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苏农规〔20</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20</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1</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4</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号</w:t>
      </w:r>
      <w:r>
        <w:rPr>
          <w:rFonts w:hint="eastAsia" w:ascii="Times New Roman" w:hAnsi="Times New Roman" w:eastAsia="方正仿宋_GBK" w:cs="Times New Roman"/>
          <w:b w:val="0"/>
          <w:i w:val="0"/>
          <w:caps w:val="0"/>
          <w:color w:val="auto"/>
          <w:spacing w:val="0"/>
          <w:sz w:val="32"/>
          <w:szCs w:val="32"/>
          <w:shd w:val="clear" w:fill="FFFFFF" w:themeFill="background1"/>
          <w:lang w:eastAsia="zh-CN"/>
        </w:rPr>
        <w:t>）、</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《江苏省主要农作物品种联合体试验实施细则（暂行）》（苏农规〔2017〕2号）、《</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江苏省主要农作物品种扩区实施细则</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》（苏农规〔20</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20</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1</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2号）要求，我</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站</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对</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年</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申请的稻、玉米、大豆联合体试验、自主试验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和扩区试验</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申报材料进行了审核</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现通知</w:t>
      </w:r>
      <w:r>
        <w:rPr>
          <w:rFonts w:hint="default" w:ascii="Times New Roman" w:hAnsi="Times New Roman" w:eastAsia="方正仿宋_GBK" w:cs="Times New Roman"/>
          <w:b w:val="0"/>
          <w:i w:val="0"/>
          <w:caps w:val="0"/>
          <w:color w:val="auto"/>
          <w:spacing w:val="0"/>
          <w:sz w:val="32"/>
          <w:szCs w:val="32"/>
          <w:shd w:val="clear" w:fill="FFFFFF" w:themeFill="background1"/>
          <w:lang w:eastAsia="zh-CN"/>
        </w:rPr>
        <w:t>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rPr>
        <w:t>　　</w:t>
      </w: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t>一、审核结果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eastAsia="zh-CN"/>
        </w:rPr>
      </w:pPr>
      <w:r>
        <w:rPr>
          <w:rFonts w:hint="default"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经审核，</w:t>
      </w:r>
      <w:r>
        <w:rPr>
          <w:rFonts w:hint="default" w:ascii="Times New Roman" w:hAnsi="Times New Roman" w:eastAsia="方正仿宋_GBK" w:cs="Times New Roman"/>
          <w:b w:val="0"/>
          <w:i w:val="0"/>
          <w:caps w:val="0"/>
          <w:color w:val="auto"/>
          <w:spacing w:val="0"/>
          <w:sz w:val="32"/>
          <w:szCs w:val="32"/>
          <w:highlight w:val="none"/>
          <w:shd w:val="clear" w:fill="FFFFFF" w:themeFill="background1"/>
          <w:lang w:eastAsia="zh-CN"/>
        </w:rPr>
        <w:t>同意江苏省杂交中籼华丰种业科企联合体等</w:t>
      </w:r>
      <w:r>
        <w:rPr>
          <w:rFonts w:hint="default"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2</w:t>
      </w:r>
      <w:r>
        <w:rPr>
          <w:rFonts w:hint="eastAsia"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8</w:t>
      </w:r>
      <w:r>
        <w:rPr>
          <w:rFonts w:hint="default"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个水稻联合体、江苏省农业科学院淮北普通玉米等3个玉米联合体和江苏省农业科学院淮南夏大豆等</w:t>
      </w:r>
      <w:r>
        <w:rPr>
          <w:rFonts w:hint="eastAsia"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5</w:t>
      </w:r>
      <w:r>
        <w:rPr>
          <w:rFonts w:hint="default"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个大豆联合体开展联合体试验；同意金地糯209等</w:t>
      </w:r>
      <w:r>
        <w:rPr>
          <w:rFonts w:hint="eastAsia"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69</w:t>
      </w:r>
      <w:r>
        <w:rPr>
          <w:rFonts w:hint="default"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个水稻品种、黑甜糯904等11个玉米品种和徐春219等</w:t>
      </w:r>
      <w:r>
        <w:rPr>
          <w:rFonts w:hint="eastAsia"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25</w:t>
      </w:r>
      <w:r>
        <w:rPr>
          <w:rFonts w:hint="default"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个大豆品种开展自主试验；同意赣优735等</w:t>
      </w:r>
      <w:r>
        <w:rPr>
          <w:rFonts w:hint="eastAsia"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1</w:t>
      </w:r>
      <w:r>
        <w:rPr>
          <w:rFonts w:hint="default"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8个水稻品种、江玉898</w:t>
      </w:r>
      <w:r>
        <w:rPr>
          <w:rFonts w:hint="eastAsia"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等2个</w:t>
      </w:r>
      <w:r>
        <w:rPr>
          <w:rFonts w:hint="default" w:ascii="Times New Roman" w:hAnsi="Times New Roman" w:eastAsia="方正仿宋_GBK" w:cs="Times New Roman"/>
          <w:b w:val="0"/>
          <w:i w:val="0"/>
          <w:caps w:val="0"/>
          <w:color w:val="auto"/>
          <w:spacing w:val="0"/>
          <w:sz w:val="32"/>
          <w:szCs w:val="32"/>
          <w:highlight w:val="none"/>
          <w:shd w:val="clear" w:fill="FFFFFF" w:themeFill="background1"/>
          <w:lang w:val="en-US" w:eastAsia="zh-CN"/>
        </w:rPr>
        <w:t>玉米品种和大豆品种皖宿1208开展扩区试验。具体参试品种和承试单位见附件</w:t>
      </w:r>
      <w:r>
        <w:rPr>
          <w:rFonts w:hint="default" w:ascii="Times New Roman" w:hAnsi="Times New Roman" w:eastAsia="方正仿宋_GBK" w:cs="Times New Roman"/>
          <w:b w:val="0"/>
          <w:i w:val="0"/>
          <w:caps w:val="0"/>
          <w:color w:val="auto"/>
          <w:spacing w:val="0"/>
          <w:sz w:val="32"/>
          <w:szCs w:val="32"/>
          <w:highlight w:val="none"/>
          <w:shd w:val="clear" w:fill="FFFFFF" w:themeFill="background1"/>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黑体_GBK" w:cs="Times New Roman"/>
          <w:b w:val="0"/>
          <w:i w:val="0"/>
          <w:caps w:val="0"/>
          <w:color w:val="auto"/>
          <w:spacing w:val="0"/>
          <w:sz w:val="32"/>
          <w:szCs w:val="32"/>
          <w:shd w:val="clear" w:fill="FFFFFF" w:themeFill="background1"/>
          <w:lang w:val="en-US" w:eastAsia="zh-CN"/>
        </w:rPr>
        <w:t>二、有关要求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1、请各联合体牵头单位、自主试验</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扩区试验单位根据试验方案要求认真落实好试验各项工作，加强试验组织管理和试验质量自查，做好参试品种转基因自测自查。</w:t>
      </w:r>
      <w:r>
        <w:rPr>
          <w:rFonts w:hint="eastAsia" w:ascii="方正黑体_GBK" w:hAnsi="方正黑体_GBK" w:eastAsia="方正黑体_GBK" w:cs="方正黑体_GBK"/>
          <w:b w:val="0"/>
          <w:i w:val="0"/>
          <w:caps w:val="0"/>
          <w:color w:val="auto"/>
          <w:spacing w:val="0"/>
          <w:sz w:val="32"/>
          <w:szCs w:val="32"/>
          <w:shd w:val="clear" w:fill="FFFFFF" w:themeFill="background1"/>
          <w:lang w:val="en-US" w:eastAsia="zh-CN"/>
        </w:rPr>
        <w:t>联合体试验品种需是联合体成员的自育品种（第一育种者），试验和审定过程不得随意更改育种者。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2、请各试验承担单位按照试验方案要求，认真落实好试验各项工作，确保试验顺利开展。</w:t>
      </w:r>
    </w:p>
    <w:p>
      <w:pPr>
        <w:numPr>
          <w:ilvl w:val="0"/>
          <w:numId w:val="0"/>
        </w:numPr>
        <w:autoSpaceDE w:val="0"/>
        <w:autoSpaceDN w:val="0"/>
        <w:adjustRightInd w:val="0"/>
        <w:spacing w:line="480" w:lineRule="exact"/>
        <w:ind w:firstLine="640" w:firstLineChars="200"/>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3、请各市种子管理站做好本辖区联合体试验、自主试验和扩区试验监管工作。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4、水稻联合体牵头单位、自主试验</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扩区试验单位于4月20日前将区试品种（</w:t>
      </w:r>
      <w:r>
        <w:rPr>
          <w:rFonts w:hint="default" w:ascii="Times New Roman" w:hAnsi="Times New Roman" w:eastAsia="方正仿宋_GBK" w:cs="Times New Roman"/>
          <w:b/>
          <w:bCs/>
          <w:i w:val="0"/>
          <w:caps w:val="0"/>
          <w:color w:val="auto"/>
          <w:spacing w:val="0"/>
          <w:sz w:val="32"/>
          <w:szCs w:val="32"/>
          <w:shd w:val="clear" w:fill="FFFFFF" w:themeFill="background1"/>
          <w:lang w:val="en-US" w:eastAsia="zh-CN"/>
        </w:rPr>
        <w:t>含对照</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）的抗病性检测和DNA指纹检测样品每品种1</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.0</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公斤</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生试品种</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的</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DNA指纹检测样品0.3公斤送（寄）至江苏省农业科学院粮作所，地址：南京市孝陵卫钟灵街50号，联系人：赵庆勇，联系电话：025-84390314，13515101611。检测样品由江苏省种子管理站和江苏省农业科学院粮作所联合</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分样、</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密码编号后送交江苏省农业科学院植保所和扬州大学分别进行抗病性和DNA指纹检测，检测协议由水稻联合体牵头单位、自主试验单位、扩区试验单位与检测单位直接</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签订</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 xml:space="preserve"> 5、水稻联合体牵头单位、自主试验单位在试验结束后及时将品质检测样品（比正常检测所需重量增加200克）</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检测单位的具体联系方式</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提供给</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江苏里下河地区农科所</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地址：江苏省扬州市邗江区扬子江北路568号北楼，联系人：潘存红，联系电话：13773552866 </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w:t>
      </w:r>
      <w:bookmarkStart w:id="0" w:name="_GoBack"/>
      <w:bookmarkEnd w:id="0"/>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江苏里下河地区农科所从每品种检测样品中取出100克留</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作DNA比对</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用，其余检测样品送（寄）至各供样单位提供的检测单位，检测协议由水稻联合体牵头单位、自主试验单位与检测单位直接</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签订</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。我站将</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从留样中</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随机抽取部分品质检测样</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品</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进行DNA比对。</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附件：1.202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年水稻联合体试验品种情况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 xml:space="preserve">      2.202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年水稻自主试验品种情况</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3.202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年水稻扩区试验品种情况</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 xml:space="preserve">      4.202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年</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玉米</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联合体试验</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、自主试验、扩区试验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品种情况</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5.202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年大豆联合体试验</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、自主试验、扩区试验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品种情况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 xml:space="preserve">      </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6</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年水稻联合体试验承试单位情况</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7</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年水稻自主试验承试单位情况</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8</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年水稻扩区试验承试单位情况</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9</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年玉米联合体试验承试单位情况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 xml:space="preserve">     </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 xml:space="preserve"> 10</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年玉米自主试验</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承试</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单位情况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 xml:space="preserve">      1</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1</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年玉米扩区试验承试单位情况</w:t>
      </w: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 xml:space="preserve">      1</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.202</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2</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年大豆联合体</w:t>
      </w: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试验、自主试验、扩区试验</w:t>
      </w:r>
      <w:r>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t>承试单位情况</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 xml:space="preserve">             江苏省农作物品种审定委员会办公室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b w:val="0"/>
          <w:i w:val="0"/>
          <w:caps w:val="0"/>
          <w:color w:val="auto"/>
          <w:spacing w:val="0"/>
          <w:sz w:val="32"/>
          <w:szCs w:val="32"/>
          <w:shd w:val="clear" w:fill="FFFFFF" w:themeFill="background1"/>
          <w:lang w:val="en-US" w:eastAsia="zh-CN"/>
        </w:rPr>
      </w:pPr>
      <w:r>
        <w:rPr>
          <w:rFonts w:hint="eastAsia" w:ascii="Times New Roman" w:hAnsi="Times New Roman" w:eastAsia="方正仿宋_GBK" w:cs="Times New Roman"/>
          <w:b w:val="0"/>
          <w:i w:val="0"/>
          <w:caps w:val="0"/>
          <w:color w:val="auto"/>
          <w:spacing w:val="0"/>
          <w:sz w:val="32"/>
          <w:szCs w:val="32"/>
          <w:shd w:val="clear" w:fill="FFFFFF" w:themeFill="background1"/>
          <w:lang w:val="en-US" w:eastAsia="zh-CN"/>
        </w:rPr>
        <w:t xml:space="preserve">              2022年4月2日                                                        </w:t>
      </w:r>
    </w:p>
    <w:sectPr>
      <w:footerReference r:id="rId3" w:type="default"/>
      <w:pgSz w:w="11906" w:h="16838"/>
      <w:pgMar w:top="2098" w:right="1587" w:bottom="2098" w:left="158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color w:val="000000" w:themeColor="text1"/>
                              <w:sz w:val="22"/>
                              <w:szCs w:val="36"/>
                              <w14:textFill>
                                <w14:solidFill>
                                  <w14:schemeClr w14:val="tx1"/>
                                </w14:solidFill>
                              </w14:textFill>
                            </w:rPr>
                          </w:pPr>
                          <w:r>
                            <w:rPr>
                              <w:color w:val="000000" w:themeColor="text1"/>
                              <w:sz w:val="22"/>
                              <w:szCs w:val="36"/>
                              <w14:textFill>
                                <w14:solidFill>
                                  <w14:schemeClr w14:val="tx1"/>
                                </w14:solidFill>
                              </w14:textFill>
                            </w:rPr>
                            <w:t>—</w:t>
                          </w:r>
                          <w:r>
                            <w:rPr>
                              <w:rFonts w:hint="default" w:ascii="Times New Roman" w:hAnsi="Times New Roman" w:cs="Times New Roman"/>
                              <w:color w:val="000000" w:themeColor="text1"/>
                              <w:sz w:val="24"/>
                              <w:szCs w:val="40"/>
                              <w14:textFill>
                                <w14:solidFill>
                                  <w14:schemeClr w14:val="tx1"/>
                                </w14:solidFill>
                              </w14:textFill>
                            </w:rPr>
                            <w:t xml:space="preserve"> </w:t>
                          </w:r>
                          <w:r>
                            <w:rPr>
                              <w:rFonts w:hint="default" w:ascii="Times New Roman" w:hAnsi="Times New Roman" w:cs="Times New Roman"/>
                              <w:color w:val="000000" w:themeColor="text1"/>
                              <w:sz w:val="24"/>
                              <w:szCs w:val="40"/>
                              <w14:textFill>
                                <w14:solidFill>
                                  <w14:schemeClr w14:val="tx1"/>
                                </w14:solidFill>
                              </w14:textFill>
                            </w:rPr>
                            <w:fldChar w:fldCharType="begin"/>
                          </w:r>
                          <w:r>
                            <w:rPr>
                              <w:rFonts w:hint="default" w:ascii="Times New Roman" w:hAnsi="Times New Roman" w:cs="Times New Roman"/>
                              <w:color w:val="000000" w:themeColor="text1"/>
                              <w:sz w:val="24"/>
                              <w:szCs w:val="40"/>
                              <w14:textFill>
                                <w14:solidFill>
                                  <w14:schemeClr w14:val="tx1"/>
                                </w14:solidFill>
                              </w14:textFill>
                            </w:rPr>
                            <w:instrText xml:space="preserve"> PAGE  \* MERGEFORMAT </w:instrText>
                          </w:r>
                          <w:r>
                            <w:rPr>
                              <w:rFonts w:hint="default" w:ascii="Times New Roman" w:hAnsi="Times New Roman" w:cs="Times New Roman"/>
                              <w:color w:val="000000" w:themeColor="text1"/>
                              <w:sz w:val="24"/>
                              <w:szCs w:val="40"/>
                              <w14:textFill>
                                <w14:solidFill>
                                  <w14:schemeClr w14:val="tx1"/>
                                </w14:solidFill>
                              </w14:textFill>
                            </w:rPr>
                            <w:fldChar w:fldCharType="separate"/>
                          </w:r>
                          <w:r>
                            <w:rPr>
                              <w:rFonts w:hint="default" w:ascii="Times New Roman" w:hAnsi="Times New Roman" w:cs="Times New Roman"/>
                              <w:color w:val="000000" w:themeColor="text1"/>
                              <w:sz w:val="24"/>
                              <w:szCs w:val="40"/>
                              <w14:textFill>
                                <w14:solidFill>
                                  <w14:schemeClr w14:val="tx1"/>
                                </w14:solidFill>
                              </w14:textFill>
                            </w:rPr>
                            <w:t>1</w:t>
                          </w:r>
                          <w:r>
                            <w:rPr>
                              <w:rFonts w:hint="default" w:ascii="Times New Roman" w:hAnsi="Times New Roman" w:cs="Times New Roman"/>
                              <w:color w:val="000000" w:themeColor="text1"/>
                              <w:sz w:val="24"/>
                              <w:szCs w:val="40"/>
                              <w14:textFill>
                                <w14:solidFill>
                                  <w14:schemeClr w14:val="tx1"/>
                                </w14:solidFill>
                              </w14:textFill>
                            </w:rPr>
                            <w:fldChar w:fldCharType="end"/>
                          </w:r>
                          <w:r>
                            <w:rPr>
                              <w:rFonts w:hint="default" w:ascii="Times New Roman" w:hAnsi="Times New Roman" w:cs="Times New Roman"/>
                              <w:color w:val="000000" w:themeColor="text1"/>
                              <w:sz w:val="24"/>
                              <w:szCs w:val="40"/>
                              <w14:textFill>
                                <w14:solidFill>
                                  <w14:schemeClr w14:val="tx1"/>
                                </w14:solidFill>
                              </w14:textFill>
                            </w:rPr>
                            <w:t xml:space="preserve"> </w:t>
                          </w:r>
                          <w:r>
                            <w:rPr>
                              <w:color w:val="000000" w:themeColor="text1"/>
                              <w:sz w:val="22"/>
                              <w:szCs w:val="36"/>
                              <w14:textFill>
                                <w14:solidFill>
                                  <w14:schemeClr w14:val="tx1"/>
                                </w14:solidFill>
                              </w14:textFill>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color w:val="000000" w:themeColor="text1"/>
                        <w:sz w:val="22"/>
                        <w:szCs w:val="36"/>
                        <w14:textFill>
                          <w14:solidFill>
                            <w14:schemeClr w14:val="tx1"/>
                          </w14:solidFill>
                        </w14:textFill>
                      </w:rPr>
                    </w:pPr>
                    <w:r>
                      <w:rPr>
                        <w:color w:val="000000" w:themeColor="text1"/>
                        <w:sz w:val="22"/>
                        <w:szCs w:val="36"/>
                        <w14:textFill>
                          <w14:solidFill>
                            <w14:schemeClr w14:val="tx1"/>
                          </w14:solidFill>
                        </w14:textFill>
                      </w:rPr>
                      <w:t>—</w:t>
                    </w:r>
                    <w:r>
                      <w:rPr>
                        <w:rFonts w:hint="default" w:ascii="Times New Roman" w:hAnsi="Times New Roman" w:cs="Times New Roman"/>
                        <w:color w:val="000000" w:themeColor="text1"/>
                        <w:sz w:val="24"/>
                        <w:szCs w:val="40"/>
                        <w14:textFill>
                          <w14:solidFill>
                            <w14:schemeClr w14:val="tx1"/>
                          </w14:solidFill>
                        </w14:textFill>
                      </w:rPr>
                      <w:t xml:space="preserve"> </w:t>
                    </w:r>
                    <w:r>
                      <w:rPr>
                        <w:rFonts w:hint="default" w:ascii="Times New Roman" w:hAnsi="Times New Roman" w:cs="Times New Roman"/>
                        <w:color w:val="000000" w:themeColor="text1"/>
                        <w:sz w:val="24"/>
                        <w:szCs w:val="40"/>
                        <w14:textFill>
                          <w14:solidFill>
                            <w14:schemeClr w14:val="tx1"/>
                          </w14:solidFill>
                        </w14:textFill>
                      </w:rPr>
                      <w:fldChar w:fldCharType="begin"/>
                    </w:r>
                    <w:r>
                      <w:rPr>
                        <w:rFonts w:hint="default" w:ascii="Times New Roman" w:hAnsi="Times New Roman" w:cs="Times New Roman"/>
                        <w:color w:val="000000" w:themeColor="text1"/>
                        <w:sz w:val="24"/>
                        <w:szCs w:val="40"/>
                        <w14:textFill>
                          <w14:solidFill>
                            <w14:schemeClr w14:val="tx1"/>
                          </w14:solidFill>
                        </w14:textFill>
                      </w:rPr>
                      <w:instrText xml:space="preserve"> PAGE  \* MERGEFORMAT </w:instrText>
                    </w:r>
                    <w:r>
                      <w:rPr>
                        <w:rFonts w:hint="default" w:ascii="Times New Roman" w:hAnsi="Times New Roman" w:cs="Times New Roman"/>
                        <w:color w:val="000000" w:themeColor="text1"/>
                        <w:sz w:val="24"/>
                        <w:szCs w:val="40"/>
                        <w14:textFill>
                          <w14:solidFill>
                            <w14:schemeClr w14:val="tx1"/>
                          </w14:solidFill>
                        </w14:textFill>
                      </w:rPr>
                      <w:fldChar w:fldCharType="separate"/>
                    </w:r>
                    <w:r>
                      <w:rPr>
                        <w:rFonts w:hint="default" w:ascii="Times New Roman" w:hAnsi="Times New Roman" w:cs="Times New Roman"/>
                        <w:color w:val="000000" w:themeColor="text1"/>
                        <w:sz w:val="24"/>
                        <w:szCs w:val="40"/>
                        <w14:textFill>
                          <w14:solidFill>
                            <w14:schemeClr w14:val="tx1"/>
                          </w14:solidFill>
                        </w14:textFill>
                      </w:rPr>
                      <w:t>1</w:t>
                    </w:r>
                    <w:r>
                      <w:rPr>
                        <w:rFonts w:hint="default" w:ascii="Times New Roman" w:hAnsi="Times New Roman" w:cs="Times New Roman"/>
                        <w:color w:val="000000" w:themeColor="text1"/>
                        <w:sz w:val="24"/>
                        <w:szCs w:val="40"/>
                        <w14:textFill>
                          <w14:solidFill>
                            <w14:schemeClr w14:val="tx1"/>
                          </w14:solidFill>
                        </w14:textFill>
                      </w:rPr>
                      <w:fldChar w:fldCharType="end"/>
                    </w:r>
                    <w:r>
                      <w:rPr>
                        <w:rFonts w:hint="default" w:ascii="Times New Roman" w:hAnsi="Times New Roman" w:cs="Times New Roman"/>
                        <w:color w:val="000000" w:themeColor="text1"/>
                        <w:sz w:val="24"/>
                        <w:szCs w:val="40"/>
                        <w14:textFill>
                          <w14:solidFill>
                            <w14:schemeClr w14:val="tx1"/>
                          </w14:solidFill>
                        </w14:textFill>
                      </w:rPr>
                      <w:t xml:space="preserve"> </w:t>
                    </w:r>
                    <w:r>
                      <w:rPr>
                        <w:color w:val="000000" w:themeColor="text1"/>
                        <w:sz w:val="22"/>
                        <w:szCs w:val="36"/>
                        <w14:textFill>
                          <w14:solidFill>
                            <w14:schemeClr w14:val="tx1"/>
                          </w14:solidFill>
                        </w14:textFill>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E18C5"/>
    <w:rsid w:val="0362359B"/>
    <w:rsid w:val="04C9670A"/>
    <w:rsid w:val="06484DAE"/>
    <w:rsid w:val="07FB7869"/>
    <w:rsid w:val="09031B0C"/>
    <w:rsid w:val="0A65141D"/>
    <w:rsid w:val="0B5C62E8"/>
    <w:rsid w:val="0D636283"/>
    <w:rsid w:val="0DB172CD"/>
    <w:rsid w:val="0F472E00"/>
    <w:rsid w:val="0F9C012B"/>
    <w:rsid w:val="101F42A3"/>
    <w:rsid w:val="1087186A"/>
    <w:rsid w:val="10C8181C"/>
    <w:rsid w:val="11AE18C5"/>
    <w:rsid w:val="125075F0"/>
    <w:rsid w:val="129D78A3"/>
    <w:rsid w:val="12D92590"/>
    <w:rsid w:val="13936D5D"/>
    <w:rsid w:val="13953B6C"/>
    <w:rsid w:val="140447D9"/>
    <w:rsid w:val="146214EC"/>
    <w:rsid w:val="152C1CF7"/>
    <w:rsid w:val="16B5621B"/>
    <w:rsid w:val="16E93415"/>
    <w:rsid w:val="16EC0CAD"/>
    <w:rsid w:val="185425D8"/>
    <w:rsid w:val="19C5662C"/>
    <w:rsid w:val="1A282C32"/>
    <w:rsid w:val="1A537392"/>
    <w:rsid w:val="1A5D1A21"/>
    <w:rsid w:val="1AC94917"/>
    <w:rsid w:val="1B4A2D3F"/>
    <w:rsid w:val="1B910290"/>
    <w:rsid w:val="1C5F2BE1"/>
    <w:rsid w:val="1DD86DC7"/>
    <w:rsid w:val="1ECE114C"/>
    <w:rsid w:val="202343C8"/>
    <w:rsid w:val="20623843"/>
    <w:rsid w:val="20FA053C"/>
    <w:rsid w:val="218200F9"/>
    <w:rsid w:val="21F94AB6"/>
    <w:rsid w:val="234370A2"/>
    <w:rsid w:val="26793695"/>
    <w:rsid w:val="273839B0"/>
    <w:rsid w:val="27C02422"/>
    <w:rsid w:val="2A356C31"/>
    <w:rsid w:val="2AB71426"/>
    <w:rsid w:val="2EDC6EB7"/>
    <w:rsid w:val="30744A0F"/>
    <w:rsid w:val="312E32CE"/>
    <w:rsid w:val="31F04771"/>
    <w:rsid w:val="32976D8F"/>
    <w:rsid w:val="33B0446E"/>
    <w:rsid w:val="349D7131"/>
    <w:rsid w:val="34FF6F43"/>
    <w:rsid w:val="35026F4B"/>
    <w:rsid w:val="354C07A3"/>
    <w:rsid w:val="35B14DF4"/>
    <w:rsid w:val="382947EF"/>
    <w:rsid w:val="384927A0"/>
    <w:rsid w:val="38E325A3"/>
    <w:rsid w:val="39616BF2"/>
    <w:rsid w:val="3A6523DE"/>
    <w:rsid w:val="3B420F3D"/>
    <w:rsid w:val="3B434E34"/>
    <w:rsid w:val="3CF939C7"/>
    <w:rsid w:val="3DA34D6D"/>
    <w:rsid w:val="3DC17832"/>
    <w:rsid w:val="3F0B3826"/>
    <w:rsid w:val="40C46DA0"/>
    <w:rsid w:val="40E85E6B"/>
    <w:rsid w:val="40F108A9"/>
    <w:rsid w:val="42237C97"/>
    <w:rsid w:val="432C5A7D"/>
    <w:rsid w:val="435072A3"/>
    <w:rsid w:val="43C04259"/>
    <w:rsid w:val="43CA3DA4"/>
    <w:rsid w:val="44C662FB"/>
    <w:rsid w:val="455C1F11"/>
    <w:rsid w:val="45B95E67"/>
    <w:rsid w:val="45F07D39"/>
    <w:rsid w:val="45F80A47"/>
    <w:rsid w:val="46821188"/>
    <w:rsid w:val="47E90BE3"/>
    <w:rsid w:val="49F273AE"/>
    <w:rsid w:val="4A843F98"/>
    <w:rsid w:val="4B8B3684"/>
    <w:rsid w:val="4C2E5CEA"/>
    <w:rsid w:val="4C5E46F6"/>
    <w:rsid w:val="4C7630C2"/>
    <w:rsid w:val="4C806BB5"/>
    <w:rsid w:val="4C9D782D"/>
    <w:rsid w:val="4D834011"/>
    <w:rsid w:val="4E3A1A51"/>
    <w:rsid w:val="4FCA6F10"/>
    <w:rsid w:val="503B0BA3"/>
    <w:rsid w:val="50465772"/>
    <w:rsid w:val="51002139"/>
    <w:rsid w:val="521E0B57"/>
    <w:rsid w:val="52815025"/>
    <w:rsid w:val="528254C2"/>
    <w:rsid w:val="52AD28C8"/>
    <w:rsid w:val="54754BEC"/>
    <w:rsid w:val="548968E9"/>
    <w:rsid w:val="55F164F4"/>
    <w:rsid w:val="57E4006B"/>
    <w:rsid w:val="5AA80040"/>
    <w:rsid w:val="5AAC3332"/>
    <w:rsid w:val="5E3D3654"/>
    <w:rsid w:val="601E26CE"/>
    <w:rsid w:val="60927E06"/>
    <w:rsid w:val="621023F8"/>
    <w:rsid w:val="629D1EDE"/>
    <w:rsid w:val="629F5CF8"/>
    <w:rsid w:val="63A116CC"/>
    <w:rsid w:val="645D44F3"/>
    <w:rsid w:val="64B17382"/>
    <w:rsid w:val="64D32EC5"/>
    <w:rsid w:val="66BD526E"/>
    <w:rsid w:val="66BF2302"/>
    <w:rsid w:val="66C8043E"/>
    <w:rsid w:val="69294F0E"/>
    <w:rsid w:val="69FF2FDA"/>
    <w:rsid w:val="6A686F73"/>
    <w:rsid w:val="6A7A0101"/>
    <w:rsid w:val="6D620A0A"/>
    <w:rsid w:val="6D8A3BFD"/>
    <w:rsid w:val="6E204FC5"/>
    <w:rsid w:val="6E47284E"/>
    <w:rsid w:val="6EE16826"/>
    <w:rsid w:val="6F475620"/>
    <w:rsid w:val="713F76D7"/>
    <w:rsid w:val="724F67C5"/>
    <w:rsid w:val="72CE60E3"/>
    <w:rsid w:val="73823EBB"/>
    <w:rsid w:val="73C62C7A"/>
    <w:rsid w:val="73CE0F6B"/>
    <w:rsid w:val="74571C1B"/>
    <w:rsid w:val="75306588"/>
    <w:rsid w:val="759F3039"/>
    <w:rsid w:val="75F414D5"/>
    <w:rsid w:val="760D6A36"/>
    <w:rsid w:val="76C05474"/>
    <w:rsid w:val="79334EF2"/>
    <w:rsid w:val="798B6ADC"/>
    <w:rsid w:val="7B2E0576"/>
    <w:rsid w:val="7B403745"/>
    <w:rsid w:val="7B6760F5"/>
    <w:rsid w:val="7B8237D7"/>
    <w:rsid w:val="7C6E6D4A"/>
    <w:rsid w:val="7D372673"/>
    <w:rsid w:val="7EAD7EED"/>
    <w:rsid w:val="7FF806C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customStyle="1" w:styleId="8">
    <w:name w:val="current"/>
    <w:basedOn w:val="5"/>
    <w:qFormat/>
    <w:uiPriority w:val="0"/>
    <w:rPr>
      <w:b/>
      <w:color w:val="FFFFFF"/>
      <w:bdr w:val="single" w:color="118606" w:sz="6" w:space="0"/>
      <w:shd w:val="clear" w:fill="118606"/>
    </w:rPr>
  </w:style>
  <w:style w:type="character" w:customStyle="1" w:styleId="9">
    <w:name w:val="disabled"/>
    <w:basedOn w:val="5"/>
    <w:qFormat/>
    <w:uiPriority w:val="0"/>
    <w:rPr>
      <w:color w:val="CCCCCC"/>
      <w:bdr w:val="single" w:color="118606" w:sz="6" w:space="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1277</Words>
  <Characters>1434</Characters>
  <Lines>0</Lines>
  <Paragraphs>0</Paragraphs>
  <TotalTime>12</TotalTime>
  <ScaleCrop>false</ScaleCrop>
  <LinksUpToDate>false</LinksUpToDate>
  <CharactersWithSpaces>1513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2018-03-05T07:29:00Z</dcterms:created>
  <dc:creator>浒朙</dc:creator>
  <cp:lastModifiedBy>翟辰洋</cp:lastModifiedBy>
  <cp:lastPrinted>2022-04-06T01:36:29Z</cp:lastPrinted>
  <dcterms:modified xsi:type="dcterms:W3CDTF">2022-04-06T01:42:24Z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F1B7EA6F52424D4EACDEE658830192D5</vt:lpwstr>
  </property>
  <property fmtid="{D5CDD505-2E9C-101B-9397-08002B2CF9AE}" pid="4" name="KSOSaveFontToCloudKey">
    <vt:lpwstr>339958105_btnclosed</vt:lpwstr>
  </property>
</Properties>
</file>