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djustRightInd/>
        <w:spacing w:before="240" w:beforeLines="100" w:after="240" w:afterLines="100" w:line="560" w:lineRule="exact"/>
        <w:ind w:firstLine="0"/>
        <w:jc w:val="left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附件</w:t>
      </w:r>
    </w:p>
    <w:p>
      <w:pPr>
        <w:widowControl w:val="0"/>
        <w:kinsoku/>
        <w:adjustRightInd/>
        <w:spacing w:before="240" w:beforeLines="100" w:after="240" w:afterLines="100" w:line="560" w:lineRule="exact"/>
        <w:ind w:firstLine="0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  <w:lang w:eastAsia="zh-CN"/>
        </w:rPr>
        <w:t>江苏省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大豆</w:t>
      </w:r>
      <w:r>
        <w:rPr>
          <w:rFonts w:ascii="Times New Roman" w:hAnsi="Times New Roman" w:eastAsia="方正小标宋_GBK" w:cs="Times New Roman"/>
          <w:sz w:val="44"/>
          <w:szCs w:val="44"/>
          <w:lang w:eastAsia="zh-CN"/>
        </w:rPr>
        <w:t>品种审定标准（202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  <w:lang w:eastAsia="zh-CN"/>
        </w:rPr>
        <w:t>年修订）</w:t>
      </w:r>
    </w:p>
    <w:p>
      <w:pPr>
        <w:pStyle w:val="3"/>
        <w:spacing w:line="274" w:lineRule="auto"/>
        <w:ind w:firstLine="420"/>
        <w:rPr>
          <w:rFonts w:ascii="Times New Roman" w:hAnsi="Times New Roman" w:cs="Times New Roman"/>
          <w:lang w:eastAsia="zh-CN"/>
        </w:rPr>
      </w:pPr>
    </w:p>
    <w:p>
      <w:pPr>
        <w:kinsoku/>
        <w:autoSpaceDE/>
        <w:autoSpaceDN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1基本条件</w:t>
      </w:r>
    </w:p>
    <w:p>
      <w:pPr>
        <w:kinsoku/>
        <w:autoSpaceDE/>
        <w:autoSpaceDN/>
        <w:snapToGrid/>
        <w:spacing w:line="560" w:lineRule="exact"/>
        <w:ind w:firstLine="627" w:firstLineChars="196"/>
        <w:textAlignment w:val="auto"/>
        <w:rPr>
          <w:rFonts w:ascii="Times New Roman" w:hAnsi="Times New Roman" w:eastAsia="方正黑体_GBK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1.1抗病性</w:t>
      </w:r>
    </w:p>
    <w:p>
      <w:pPr>
        <w:kinsoku/>
        <w:autoSpaceDE/>
        <w:autoSpaceDN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大豆花叶病毒病抗性：人工接种鉴定，对弱致病优势株系抗性级别达到中抗及以上，对强致病优势株系抗性级别达到中感及以上。</w:t>
      </w:r>
    </w:p>
    <w:p>
      <w:pPr>
        <w:kinsoku/>
        <w:autoSpaceDE/>
        <w:autoSpaceDN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大豆炭疽病抗性：人工接种鉴定，春大豆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菜用品种抗性级别达到中感及以上。</w:t>
      </w:r>
    </w:p>
    <w:p>
      <w:pPr>
        <w:kinsoku/>
        <w:autoSpaceDE/>
        <w:autoSpaceDN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大豆根腐病抗性：田间自然发病，品种抗性级别达到中感及以上。</w:t>
      </w:r>
    </w:p>
    <w:p>
      <w:pPr>
        <w:kinsoku/>
        <w:autoSpaceDE/>
        <w:autoSpaceDN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鉴定病害及抗性要求由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大豆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专业委员会根据生产发病情况作相应调整。</w:t>
      </w:r>
    </w:p>
    <w:p>
      <w:pPr>
        <w:kinsoku/>
        <w:autoSpaceDE/>
        <w:autoSpaceDN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2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生育期</w:t>
      </w:r>
    </w:p>
    <w:p>
      <w:pPr>
        <w:kinsoku/>
        <w:autoSpaceDE/>
        <w:autoSpaceDN/>
        <w:snapToGrid/>
        <w:spacing w:before="75" w:after="75"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不超过安全生产和耕作制度允许范围。两年区域试验生育期平均结果，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淮北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夏大豆区比对照品种晚熟≤7.0天，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其他类型品种生育期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比对照品种晚熟≤10.0天。</w:t>
      </w:r>
    </w:p>
    <w:p>
      <w:pPr>
        <w:kinsoku/>
        <w:autoSpaceDE/>
        <w:autoSpaceDN/>
        <w:snapToGrid/>
        <w:spacing w:before="75" w:after="75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生育期比对照长5.0天以上的品种，超过5.0天后每长1.0天增产幅度提高0.5个百分点。 </w:t>
      </w:r>
    </w:p>
    <w:p>
      <w:pPr>
        <w:kinsoku/>
        <w:autoSpaceDE/>
        <w:autoSpaceDN/>
        <w:snapToGrid/>
        <w:spacing w:before="75" w:after="75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生育期比对照短3.0天及以上的淮南夏大豆品种增产幅度可降低2个百分点。 </w:t>
      </w:r>
    </w:p>
    <w:p>
      <w:pPr>
        <w:kinsoku/>
        <w:autoSpaceDE/>
        <w:autoSpaceDN/>
        <w:snapToGrid/>
        <w:spacing w:before="75" w:after="75"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当对照更换时，生育期指标由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大豆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专业委员会作相应调整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insoku/>
        <w:autoSpaceDE/>
        <w:autoSpaceDN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3品质</w:t>
      </w:r>
    </w:p>
    <w:p>
      <w:pPr>
        <w:kinsoku/>
        <w:autoSpaceDE/>
        <w:autoSpaceDN/>
        <w:snapToGrid/>
        <w:spacing w:before="75" w:after="75"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粒用大豆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两年区域试验平均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粗脂肪和粗蛋白质含量之和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≥59.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%。</w:t>
      </w:r>
    </w:p>
    <w:p>
      <w:pPr>
        <w:kinsoku/>
        <w:autoSpaceDE/>
        <w:autoSpaceDN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1.4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底荚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高度</w:t>
      </w:r>
    </w:p>
    <w:p>
      <w:pPr>
        <w:kinsoku/>
        <w:autoSpaceDE/>
        <w:autoSpaceDN/>
        <w:snapToGrid/>
        <w:spacing w:before="75" w:after="75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品种底荚高度≥8厘米。</w:t>
      </w:r>
    </w:p>
    <w:p>
      <w:pPr>
        <w:kinsoku/>
        <w:autoSpaceDE/>
        <w:autoSpaceDN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真实性和特异性（SSR分子标记检测）</w:t>
      </w:r>
    </w:p>
    <w:p>
      <w:pPr>
        <w:tabs>
          <w:tab w:val="left" w:pos="643"/>
        </w:tabs>
        <w:kinsoku/>
        <w:autoSpaceDE/>
        <w:autoSpaceDN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同一品种在不同试验年份、不同试验组别、不同试验渠道中 DNA 指纹检测差异位点数≤2个；申请审定品种与已知品种 DNA指纹检测差异位点数≥4个。</w:t>
      </w:r>
    </w:p>
    <w:p>
      <w:pPr>
        <w:tabs>
          <w:tab w:val="left" w:pos="643"/>
        </w:tabs>
        <w:kinsoku/>
        <w:autoSpaceDE/>
        <w:autoSpaceDN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申请审定品种与已知品种DNA指纹检测差异位点数=3个的，需进行田间小区种植鉴定证明有重要农艺性状差异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是否为重要农艺性状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差异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大豆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专业委员会决定；申请审定品种与已知品种DNA指纹检测差异位点数&lt;3个的，视为相同品种处理。</w:t>
      </w:r>
    </w:p>
    <w:p>
      <w:pPr>
        <w:kinsoku/>
        <w:autoSpaceDE/>
        <w:autoSpaceDN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bCs/>
          <w:sz w:val="32"/>
          <w:szCs w:val="32"/>
          <w:lang w:eastAsia="zh-CN"/>
        </w:rPr>
        <w:t>2分类品种条件</w:t>
      </w:r>
    </w:p>
    <w:p>
      <w:pPr>
        <w:kinsoku/>
        <w:autoSpaceDE/>
        <w:autoSpaceDN/>
        <w:snapToGrid/>
        <w:spacing w:line="560" w:lineRule="exact"/>
        <w:ind w:firstLine="627" w:firstLineChars="196"/>
        <w:textAlignment w:val="auto"/>
        <w:rPr>
          <w:rFonts w:ascii="Times New Roman" w:hAnsi="Times New Roman" w:eastAsia="方正仿宋_GBK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2.1高产稳产品种</w:t>
      </w:r>
    </w:p>
    <w:p>
      <w:pPr>
        <w:kinsoku/>
        <w:autoSpaceDE/>
        <w:autoSpaceDN/>
        <w:snapToGrid/>
        <w:spacing w:line="560" w:lineRule="exact"/>
        <w:ind w:firstLine="627" w:firstLineChars="196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申请审定品种与对照同为常规品种或杂交品种时，两年区域试验平均产量比相应对照增产≥5.0%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且每年增产≥3.0%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生产试验平均产量比相应对照增产≥3.0%。每年区域试验、生产试验增产试验点比例≥65%。</w:t>
      </w:r>
    </w:p>
    <w:p>
      <w:pPr>
        <w:kinsoku/>
        <w:autoSpaceDE/>
        <w:autoSpaceDN/>
        <w:snapToGrid/>
        <w:spacing w:line="560" w:lineRule="exact"/>
        <w:ind w:firstLine="627" w:firstLineChars="196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申请审定品种为杂交品种而对照为常规品种时，两年区域试验平均产量比对照增产≥8.0%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且每年增产≥5.0%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生产试验平均产量比常规品种对照增产≥5.0%。每年区域试验、生产试验增产试验点比例≥65%。</w:t>
      </w:r>
    </w:p>
    <w:p>
      <w:pPr>
        <w:kinsoku/>
        <w:autoSpaceDE/>
        <w:autoSpaceDN/>
        <w:snapToGrid/>
        <w:spacing w:line="560" w:lineRule="exact"/>
        <w:ind w:firstLine="627" w:firstLineChars="196"/>
        <w:textAlignment w:val="auto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2.2高油品种</w:t>
      </w:r>
    </w:p>
    <w:p>
      <w:pPr>
        <w:kinsoku/>
        <w:autoSpaceDE/>
        <w:autoSpaceDN/>
        <w:snapToGrid/>
        <w:spacing w:line="560" w:lineRule="exact"/>
        <w:ind w:firstLine="627" w:firstLineChars="196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两年区域试验粗脂肪平均含量≥2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2.0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且单年≥21.0%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>
      <w:pPr>
        <w:kinsoku/>
        <w:autoSpaceDE/>
        <w:autoSpaceDN/>
        <w:snapToGrid/>
        <w:spacing w:line="560" w:lineRule="exact"/>
        <w:ind w:firstLine="0" w:firstLineChars="0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申请审定品种与对照同为常规品种或杂交品种，每年区域试验、生产试验平均产量比相应对照品种增产≥0.0%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杂交品种，每年区域试验、生产试验平均产量比相应对照品种增产≥5.0%。每年区域试验、生产试验增产试验点比例≥65%。</w:t>
      </w:r>
    </w:p>
    <w:p>
      <w:pPr>
        <w:kinsoku/>
        <w:autoSpaceDE/>
        <w:autoSpaceDN/>
        <w:snapToGrid/>
        <w:spacing w:line="560" w:lineRule="exact"/>
        <w:ind w:firstLine="627" w:firstLineChars="196"/>
        <w:textAlignment w:val="auto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2.3高蛋白品种</w:t>
      </w:r>
    </w:p>
    <w:p>
      <w:pPr>
        <w:kinsoku/>
        <w:autoSpaceDE/>
        <w:autoSpaceDN/>
        <w:snapToGrid/>
        <w:spacing w:line="560" w:lineRule="exact"/>
        <w:ind w:firstLine="627" w:firstLineChars="196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两年区域试验粗蛋白质平均含量≥45.0%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 xml:space="preserve">且单年≥43.0%。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申请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审定品种与对照同为常规品种或杂交品种，两年区域试验平均产量比常规对照品种增产≥0.0%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杂交品种，每年区域试验、生产试验平均产量比常规对照品种增产≥5.0%。每年区域试验、生产试验增产试验点比例≥65%。</w:t>
      </w:r>
    </w:p>
    <w:p>
      <w:pPr>
        <w:kinsoku/>
        <w:autoSpaceDE/>
        <w:autoSpaceDN/>
        <w:snapToGrid/>
        <w:spacing w:line="560" w:lineRule="exact"/>
        <w:ind w:firstLine="627" w:firstLineChars="196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2.4蛋脂兼用品种</w:t>
      </w:r>
    </w:p>
    <w:p>
      <w:pPr>
        <w:kinsoku/>
        <w:autoSpaceDE/>
        <w:autoSpaceDN/>
        <w:snapToGrid/>
        <w:spacing w:line="560" w:lineRule="exact"/>
        <w:ind w:firstLine="627" w:firstLineChars="196"/>
        <w:textAlignment w:val="auto"/>
        <w:rPr>
          <w:rFonts w:hint="eastAsia" w:ascii="Times New Roman" w:hAnsi="Times New Roman" w:eastAsia="方正黑体_GBK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域试验粗蛋白质与粗脂肪含量之和≥64.0%，且粗脂肪含量≥20.0%。申请审定品种与对照同为常规品种或杂交品种，每年区域试验平均产量比常规对照品种增产≥0.0%；杂交品种每年区域试验、生产试验平均产量比常规对照品种增产≥5.0%。</w:t>
      </w:r>
    </w:p>
    <w:p>
      <w:pPr>
        <w:kinsoku/>
        <w:autoSpaceDE/>
        <w:autoSpaceDN/>
        <w:snapToGrid/>
        <w:spacing w:line="560" w:lineRule="exact"/>
        <w:ind w:firstLine="627" w:firstLineChars="196"/>
        <w:textAlignment w:val="auto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特殊类型品种</w:t>
      </w:r>
    </w:p>
    <w:p>
      <w:pPr>
        <w:spacing w:before="257" w:line="220" w:lineRule="auto"/>
        <w:ind w:firstLine="656" w:firstLineChars="200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pacing w:val="4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楷体_GBK" w:cs="Times New Roman"/>
          <w:spacing w:val="4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spacing w:val="4"/>
          <w:sz w:val="32"/>
          <w:szCs w:val="32"/>
          <w:lang w:eastAsia="zh-CN"/>
        </w:rPr>
        <w:t>.1 耐盐(碱)品种</w:t>
      </w:r>
      <w:r>
        <w:rPr>
          <w:rFonts w:hint="default" w:ascii="Times New Roman" w:hAnsi="Times New Roman" w:eastAsia="方正楷体_GBK" w:cs="Times New Roman"/>
          <w:spacing w:val="12"/>
          <w:sz w:val="32"/>
          <w:szCs w:val="32"/>
          <w:lang w:eastAsia="zh-CN"/>
        </w:rPr>
        <w:t>：</w:t>
      </w:r>
      <w:r>
        <w:rPr>
          <w:rFonts w:ascii="Times New Roman" w:hAnsi="Times New Roman" w:eastAsia="仿宋" w:cs="Times New Roman"/>
          <w:spacing w:val="12"/>
          <w:sz w:val="32"/>
          <w:szCs w:val="32"/>
          <w:lang w:eastAsia="zh-CN"/>
        </w:rPr>
        <w:t>具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有耐盐(碱)特性的品种。</w:t>
      </w:r>
    </w:p>
    <w:p>
      <w:pPr>
        <w:spacing w:before="257" w:line="220" w:lineRule="auto"/>
        <w:ind w:firstLine="656" w:firstLineChars="200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pacing w:val="4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楷体_GBK" w:cs="Times New Roman"/>
          <w:spacing w:val="4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spacing w:val="4"/>
          <w:sz w:val="32"/>
          <w:szCs w:val="32"/>
          <w:lang w:eastAsia="zh-CN"/>
        </w:rPr>
        <w:t>.2</w:t>
      </w:r>
      <w:r>
        <w:rPr>
          <w:rFonts w:hint="default" w:ascii="Times New Roman" w:hAnsi="Times New Roman" w:eastAsia="方正楷体_GBK" w:cs="Times New Roman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spacing w:val="4"/>
          <w:sz w:val="32"/>
          <w:szCs w:val="32"/>
          <w:lang w:eastAsia="zh-CN"/>
        </w:rPr>
        <w:t>菜用大豆品种：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采收鲜荚食用的品种。</w:t>
      </w:r>
    </w:p>
    <w:p>
      <w:pPr>
        <w:spacing w:before="257" w:line="220" w:lineRule="auto"/>
        <w:ind w:firstLine="656" w:firstLineChars="200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snapToGrid w:val="0"/>
          <w:color w:val="000000"/>
          <w:spacing w:val="4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eastAsia="方正楷体_GBK" w:cs="Times New Roman"/>
          <w:snapToGrid w:val="0"/>
          <w:color w:val="000000"/>
          <w:spacing w:val="4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楷体_GBK" w:cs="Times New Roman"/>
          <w:snapToGrid w:val="0"/>
          <w:color w:val="000000"/>
          <w:spacing w:val="4"/>
          <w:kern w:val="0"/>
          <w:sz w:val="32"/>
          <w:szCs w:val="32"/>
          <w:lang w:val="en-US" w:eastAsia="zh-CN" w:bidi="ar"/>
        </w:rPr>
        <w:t>.3 其他特殊品种：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  <w:t>由大豆专业委员会讨论确定。</w:t>
      </w:r>
    </w:p>
    <w:p>
      <w:pPr>
        <w:spacing w:before="257" w:line="220" w:lineRule="auto"/>
        <w:ind w:firstLine="640" w:firstLineChars="200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  <w:t>特殊类型审定标准由大豆专业委员会讨论确定。</w:t>
      </w:r>
      <w:bookmarkStart w:id="0" w:name="_GoBack"/>
      <w:bookmarkEnd w:id="0"/>
    </w:p>
    <w:p>
      <w:pPr>
        <w:spacing w:before="223" w:line="218" w:lineRule="auto"/>
        <w:ind w:left="61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FF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3.有关说明</w:t>
      </w:r>
    </w:p>
    <w:p>
      <w:pPr>
        <w:kinsoku/>
        <w:autoSpaceDE/>
        <w:autoSpaceDN/>
        <w:snapToGrid/>
        <w:spacing w:before="0" w:line="560" w:lineRule="exact"/>
        <w:ind w:left="0" w:firstLine="627" w:firstLineChars="196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普通大豆对照产量低于组平均产量时，以组平均产量作为产量对照指标。</w:t>
      </w:r>
    </w:p>
    <w:p>
      <w:pPr>
        <w:spacing w:before="80" w:line="240" w:lineRule="auto"/>
        <w:ind w:firstLine="0"/>
        <w:rPr>
          <w:rFonts w:ascii="Times New Roman" w:hAnsi="Times New Roman" w:cs="Times New Roman"/>
          <w:lang w:eastAsia="zh-CN"/>
        </w:rPr>
      </w:pPr>
    </w:p>
    <w:sectPr>
      <w:footerReference r:id="rId3" w:type="default"/>
      <w:pgSz w:w="11900" w:h="16840"/>
      <w:pgMar w:top="1431" w:right="1589" w:bottom="2286" w:left="1770" w:header="0" w:footer="2008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0" w:firstLine="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MxOWIzYTk4YjUyODJkZjQzOTEzMDA5MGEzZjFlOTMifQ=="/>
  </w:docVars>
  <w:rsids>
    <w:rsidRoot w:val="00F90D60"/>
    <w:rsid w:val="007A7B61"/>
    <w:rsid w:val="009A6DC3"/>
    <w:rsid w:val="00F90D60"/>
    <w:rsid w:val="02054F49"/>
    <w:rsid w:val="02DA63DE"/>
    <w:rsid w:val="066E30C6"/>
    <w:rsid w:val="0F9A2ACB"/>
    <w:rsid w:val="103B0FDE"/>
    <w:rsid w:val="1D2404F5"/>
    <w:rsid w:val="1EBA2847"/>
    <w:rsid w:val="2084111D"/>
    <w:rsid w:val="212D49F8"/>
    <w:rsid w:val="21587558"/>
    <w:rsid w:val="24054D83"/>
    <w:rsid w:val="28BB5B3B"/>
    <w:rsid w:val="2BDE2484"/>
    <w:rsid w:val="2EFF6701"/>
    <w:rsid w:val="32B3212C"/>
    <w:rsid w:val="344E794B"/>
    <w:rsid w:val="34E4516C"/>
    <w:rsid w:val="34F51961"/>
    <w:rsid w:val="357B2C61"/>
    <w:rsid w:val="3B7B69ED"/>
    <w:rsid w:val="43ED2319"/>
    <w:rsid w:val="45A278F0"/>
    <w:rsid w:val="46165D09"/>
    <w:rsid w:val="47F734E7"/>
    <w:rsid w:val="4A7D37EB"/>
    <w:rsid w:val="4D7038BB"/>
    <w:rsid w:val="4D9436C5"/>
    <w:rsid w:val="58136BF6"/>
    <w:rsid w:val="58871B91"/>
    <w:rsid w:val="59271254"/>
    <w:rsid w:val="5D7E7CF0"/>
    <w:rsid w:val="61926DDD"/>
    <w:rsid w:val="69DF2DDC"/>
    <w:rsid w:val="6CEC17F4"/>
    <w:rsid w:val="73342A8E"/>
    <w:rsid w:val="797478AB"/>
    <w:rsid w:val="7B2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autoRedefine/>
    <w:semiHidden/>
    <w:qFormat/>
    <w:uiPriority w:val="0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autoRedefine/>
    <w:qFormat/>
    <w:uiPriority w:val="0"/>
    <w:rPr>
      <w:rFonts w:ascii="Calibri" w:hAnsi="Calibri" w:eastAsia="宋体" w:cs="Times New Roman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1213</Words>
  <Characters>1371</Characters>
  <Lines>10</Lines>
  <Paragraphs>2</Paragraphs>
  <TotalTime>492</TotalTime>
  <ScaleCrop>false</ScaleCrop>
  <LinksUpToDate>false</LinksUpToDate>
  <CharactersWithSpaces>1384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2023-12-27T14:34:00Z</dcterms:created>
  <dc:creator>Kingsoft-PDF</dc:creator>
  <cp:lastModifiedBy>棒棒糖</cp:lastModifiedBy>
  <cp:lastPrinted>2024-06-11T08:07:17Z</cp:lastPrinted>
  <dcterms:modified xsi:type="dcterms:W3CDTF">2024-06-11T08:56:46Z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2023-12-27T14:34:01Z</vt:filetime>
  </property>
  <property fmtid="{D5CDD505-2E9C-101B-9397-08002B2CF9AE}" pid="4" name="UsrData">
    <vt:lpwstr>658bc556001f2400205e5678wl</vt:lpwstr>
  </property>
  <property fmtid="{D5CDD505-2E9C-101B-9397-08002B2CF9AE}" pid="5" name="KSOProductBuildVer">
    <vt:lpwstr>2052-12.1.0.16929</vt:lpwstr>
  </property>
  <property fmtid="{D5CDD505-2E9C-101B-9397-08002B2CF9AE}" pid="6" name="ICV">
    <vt:lpwstr>0E85CB5CA6F74163A4D4446BACC0F80B_12</vt:lpwstr>
  </property>
</Properties>
</file>